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64DB4DF-4B45-4AD3-82C2-52B576504F99}"/>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